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6E" w:rsidRDefault="00807C6E" w:rsidP="00807C6E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>Jednostavne građevine</w:t>
      </w:r>
    </w:p>
    <w:p w:rsidR="00807C6E" w:rsidRPr="00807C6E" w:rsidRDefault="00807C6E" w:rsidP="00807C6E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</w:pPr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>da li se za pomoćnu građevinu mora platiti vodeni i komunalni doprinos ?</w:t>
      </w:r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br/>
      </w:r>
      <w:r w:rsidRPr="00807C6E"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t>Da potrebno je, a samo rješenje se donosi po prijavi početka radova ili primjerice po dojavi komunalnog redara</w:t>
      </w:r>
      <w:r w:rsidRPr="00807C6E"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br/>
      </w:r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 xml:space="preserve">– da li je potrebna </w:t>
      </w:r>
      <w:proofErr w:type="spellStart"/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>elektro</w:t>
      </w:r>
      <w:proofErr w:type="spellEnd"/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>-energetska suglasnost ako se struja spaja sa postojeće građevine i da li to u projektu mora biti naznačeno ?</w:t>
      </w:r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br/>
      </w:r>
      <w:r w:rsidRPr="00807C6E"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t>Naše tumačenje je da ne treba. Iznimno ukoliko bi se pomoćna zgrada svrstavala u treću kategoriju (i to je moguće..) tada treba biti u projektu</w:t>
      </w:r>
      <w:r w:rsidRPr="00807C6E"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br/>
      </w:r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>– da li je potrebna su</w:t>
      </w:r>
      <w:r w:rsidR="001269D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>g</w:t>
      </w:r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>lasnost za spajanje vode i kanalizacije na već postojeći sustav legalne građevine?</w:t>
      </w:r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br/>
      </w:r>
      <w:r w:rsidRPr="00807C6E"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t>Ne</w:t>
      </w:r>
      <w:r w:rsidRPr="00807C6E"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br/>
      </w:r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>– da li je potreban nadzorni inž</w:t>
      </w:r>
      <w:r w:rsidR="001269D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>e</w:t>
      </w:r>
      <w:bookmarkStart w:id="0" w:name="_GoBack"/>
      <w:bookmarkEnd w:id="0"/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>njer kod gradnje ?</w:t>
      </w:r>
      <w:r w:rsidRPr="00807C6E"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br/>
        <w:t>Da</w:t>
      </w:r>
      <w:r w:rsidRPr="00807C6E"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br/>
      </w:r>
      <w:r w:rsidRPr="00807C6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r-HR"/>
        </w:rPr>
        <w:t>– što je potrebno za prijavu početka gradnje ?</w:t>
      </w:r>
      <w:r w:rsidRPr="00807C6E"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br/>
        <w:t>Sve kao kod gradnje s građevinskom dozvolom kako je definirano Zakonom o gradnji, osim što se umjesto broja dozvole navodi broj glavnog projekta.</w:t>
      </w:r>
    </w:p>
    <w:p w:rsidR="00807C6E" w:rsidRPr="00807C6E" w:rsidRDefault="00807C6E" w:rsidP="00807C6E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</w:pPr>
      <w:r w:rsidRPr="00807C6E"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t>Zaključak svega: pomoćne zgrade treba promatrati jednako kao i zgrade za koje se ishodi građevinska dozvola, osim što se formalno ne ide na dozvolu i time se skraćuje procedura. Sve drugo je praktički isto.</w:t>
      </w:r>
      <w:r w:rsidRPr="00807C6E">
        <w:rPr>
          <w:rFonts w:ascii="Helvetica" w:eastAsia="Times New Roman" w:hAnsi="Helvetica" w:cs="Helvetica"/>
          <w:color w:val="222222"/>
          <w:sz w:val="24"/>
          <w:szCs w:val="24"/>
          <w:lang w:eastAsia="hr-HR"/>
        </w:rPr>
        <w:br/>
        <w:t>Kod pomoćnih građevina bilo da se radi o garažama, vrtnim sjenicama ili nadstrešnicama također je važno poštovati  parametre prostornog plana: Koeficijent izgrađenosti, iskoristivosti, zelenilo itd.</w:t>
      </w:r>
    </w:p>
    <w:p w:rsidR="00344C2E" w:rsidRPr="00807C6E" w:rsidRDefault="00344C2E" w:rsidP="00807C6E"/>
    <w:sectPr w:rsidR="00344C2E" w:rsidRPr="00807C6E" w:rsidSect="00E765B5">
      <w:pgSz w:w="11905" w:h="16837" w:code="9"/>
      <w:pgMar w:top="1440" w:right="851" w:bottom="1440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6E"/>
    <w:rsid w:val="001269D4"/>
    <w:rsid w:val="00344C2E"/>
    <w:rsid w:val="00807C6E"/>
    <w:rsid w:val="00E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7DE1"/>
  <w15:chartTrackingRefBased/>
  <w15:docId w15:val="{246BFD3E-BBA3-4577-9EDF-0A7F7597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0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MGIPU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Borović</dc:creator>
  <cp:keywords/>
  <dc:description/>
  <cp:lastModifiedBy>Damir Borović</cp:lastModifiedBy>
  <cp:revision>2</cp:revision>
  <dcterms:created xsi:type="dcterms:W3CDTF">2017-12-12T07:14:00Z</dcterms:created>
  <dcterms:modified xsi:type="dcterms:W3CDTF">2019-06-06T12:17:00Z</dcterms:modified>
</cp:coreProperties>
</file>